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48"/>
        <w:gridCol w:w="3235"/>
      </w:tblGrid>
      <w:tr w:rsidR="00A402E9" w:rsidRPr="00A96EC1" w:rsidTr="00D17A22">
        <w:trPr>
          <w:tblCellSpacing w:w="15" w:type="dxa"/>
        </w:trPr>
        <w:tc>
          <w:tcPr>
            <w:tcW w:w="0" w:type="auto"/>
            <w:shd w:val="clear" w:color="auto" w:fill="990000"/>
            <w:vAlign w:val="center"/>
            <w:hideMark/>
          </w:tcPr>
          <w:p w:rsidR="00A402E9" w:rsidRPr="00A96EC1" w:rsidRDefault="00A402E9" w:rsidP="00A402E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Ézétimibe</w:t>
            </w:r>
            <w:r w:rsidRPr="00A96EC1">
              <w:rPr>
                <w:rFonts w:ascii="Times New Roman" w:eastAsia="Times New Roman" w:hAnsi="Times New Roman" w:cs="Times New Roman"/>
                <w:color w:val="000000"/>
                <w:sz w:val="24"/>
                <w:szCs w:val="24"/>
                <w:lang w:eastAsia="fr-FR"/>
              </w:rPr>
              <w:t xml:space="preserve"> </w:t>
            </w:r>
          </w:p>
        </w:tc>
        <w:tc>
          <w:tcPr>
            <w:tcW w:w="0" w:type="auto"/>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Verdana" w:eastAsia="Times New Roman" w:hAnsi="Verdana" w:cs="Times New Roman"/>
                <w:b/>
                <w:bCs/>
                <w:color w:val="990000"/>
                <w:sz w:val="24"/>
                <w:szCs w:val="24"/>
                <w:lang w:eastAsia="fr-FR"/>
              </w:rPr>
              <w:t>EFFETS INDÉSIRABLES</w:t>
            </w:r>
            <w:r w:rsidRPr="00A96EC1">
              <w:rPr>
                <w:rFonts w:ascii="Times New Roman" w:eastAsia="Times New Roman" w:hAnsi="Times New Roman" w:cs="Times New Roman"/>
                <w:color w:val="000000"/>
                <w:sz w:val="24"/>
                <w:szCs w:val="24"/>
                <w:lang w:eastAsia="fr-FR"/>
              </w:rPr>
              <w:t> </w:t>
            </w:r>
          </w:p>
        </w:tc>
      </w:tr>
    </w:tbl>
    <w:p w:rsidR="00A402E9" w:rsidRPr="00A96EC1" w:rsidRDefault="00A402E9" w:rsidP="00A402E9">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b/>
          <w:bCs/>
          <w:i/>
          <w:iCs/>
          <w:color w:val="000000"/>
          <w:sz w:val="24"/>
          <w:szCs w:val="24"/>
          <w:lang w:eastAsia="fr-FR"/>
        </w:rPr>
        <w:t>Études cliniques :</w:t>
      </w:r>
      <w:r w:rsidRPr="00A96EC1">
        <w:rPr>
          <w:rFonts w:ascii="Times New Roman" w:eastAsia="Times New Roman" w:hAnsi="Times New Roman" w:cs="Times New Roman"/>
          <w:color w:val="000000"/>
          <w:sz w:val="24"/>
          <w:szCs w:val="24"/>
          <w:lang w:eastAsia="fr-FR"/>
        </w:rPr>
        <w:t xml:space="preserv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Dans des études cliniques d'une durée allant jusqu'à 112 semaines,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10 mg par jour a été administré seul chez 2396 patients, en association avec une statine chez 11 308 patients ou avec le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chez 185 patients. Les effets indésirables étaient habituellement légers et transitoires. L'incidence globale d'effets secondaires observés était identique entre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et un placebo. De même, le taux d'arrêt du traitement dû aux événements indésirables était comparable entre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et le placebo.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i/>
          <w:iCs/>
          <w:color w:val="000000"/>
          <w:sz w:val="24"/>
          <w:szCs w:val="24"/>
          <w:lang w:eastAsia="fr-FR"/>
        </w:rPr>
        <w:t>Ézétimibe</w:t>
      </w:r>
      <w:proofErr w:type="spellEnd"/>
      <w:r w:rsidRPr="00A96EC1">
        <w:rPr>
          <w:rFonts w:ascii="Times New Roman" w:eastAsia="Times New Roman" w:hAnsi="Times New Roman" w:cs="Times New Roman"/>
          <w:i/>
          <w:iCs/>
          <w:color w:val="000000"/>
          <w:sz w:val="24"/>
          <w:szCs w:val="24"/>
          <w:lang w:eastAsia="fr-FR"/>
        </w:rPr>
        <w:t xml:space="preserve"> administré seul ou en association avec une statine :</w:t>
      </w:r>
      <w:r w:rsidRPr="00A96EC1">
        <w:rPr>
          <w:rFonts w:ascii="Times New Roman" w:eastAsia="Times New Roman" w:hAnsi="Times New Roman" w:cs="Times New Roman"/>
          <w:color w:val="000000"/>
          <w:sz w:val="24"/>
          <w:szCs w:val="24"/>
          <w:lang w:eastAsia="fr-FR"/>
        </w:rPr>
        <w:t xml:space="preserv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Les effets indésirables suivants ont été observés chez les patients traités par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(n = 2 396), et avec une plus grande incidence qu'avec le placebo (n = 1159) ou chez les patients traités par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association avec une statine (n = 11 308) et avec une plus grande incidence qu'avec une statine administrée seule (n = 9361).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Les fréquences sont définies comme suit : très fréquent (&gt;= 1/10), fréquent (&gt;= 1/100 à &lt; 1/10), peu fréquent (&gt;= 1/1000 à &lt; 1/100), rare (&gt;= 1/10 000 à &lt; 1/1000), et très rare (&lt; 1/10 000).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monothérapie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9"/>
        <w:gridCol w:w="7522"/>
      </w:tblGrid>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jc w:val="center"/>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b/>
                <w:bCs/>
                <w:color w:val="000000"/>
                <w:sz w:val="24"/>
                <w:szCs w:val="24"/>
                <w:lang w:eastAsia="fr-FR"/>
              </w:rPr>
              <w:t>Effets indésirables</w:t>
            </w:r>
            <w:r w:rsidRPr="00A96EC1">
              <w:rPr>
                <w:rFonts w:ascii="Times New Roman" w:eastAsia="Times New Roman" w:hAnsi="Times New Roman" w:cs="Times New Roman"/>
                <w:color w:val="000000"/>
                <w:sz w:val="24"/>
                <w:szCs w:val="24"/>
                <w:lang w:eastAsia="fr-FR"/>
              </w:rPr>
              <w:br/>
            </w:r>
            <w:r w:rsidRPr="00A96EC1">
              <w:rPr>
                <w:rFonts w:ascii="Times New Roman" w:eastAsia="Times New Roman" w:hAnsi="Times New Roman" w:cs="Times New Roman"/>
                <w:b/>
                <w:bCs/>
                <w:color w:val="000000"/>
                <w:sz w:val="24"/>
                <w:szCs w:val="24"/>
                <w:lang w:eastAsia="fr-FR"/>
              </w:rPr>
              <w:t>par classe de systèmes d'organes/fréquence</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Investigations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Augmentation des ALAT et/ou ASAT, augmentation des CPK, augmentation des gamma-GT ; anomalie du test fonctionnel hépatique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A96EC1">
              <w:rPr>
                <w:rFonts w:ascii="Times New Roman" w:eastAsia="Times New Roman" w:hAnsi="Times New Roman" w:cs="Times New Roman"/>
                <w:i/>
                <w:iCs/>
                <w:color w:val="000000"/>
                <w:sz w:val="24"/>
                <w:szCs w:val="24"/>
                <w:lang w:eastAsia="fr-FR"/>
              </w:rPr>
              <w:t>médiastinales</w:t>
            </w:r>
            <w:proofErr w:type="spellEnd"/>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Toux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Affections gastro-intestinales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Douleurs abdominales, diarrhée, flatulence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Dyspepsie, reflux </w:t>
            </w:r>
            <w:proofErr w:type="spellStart"/>
            <w:r w:rsidRPr="00A96EC1">
              <w:rPr>
                <w:rFonts w:ascii="Times New Roman" w:eastAsia="Times New Roman" w:hAnsi="Times New Roman" w:cs="Times New Roman"/>
                <w:color w:val="000000"/>
                <w:sz w:val="24"/>
                <w:szCs w:val="24"/>
                <w:lang w:eastAsia="fr-FR"/>
              </w:rPr>
              <w:t>gastro</w:t>
            </w:r>
            <w:proofErr w:type="spellEnd"/>
            <w:r w:rsidRPr="00A96EC1">
              <w:rPr>
                <w:rFonts w:ascii="Times New Roman" w:eastAsia="Times New Roman" w:hAnsi="Times New Roman" w:cs="Times New Roman"/>
                <w:color w:val="000000"/>
                <w:sz w:val="24"/>
                <w:szCs w:val="24"/>
                <w:lang w:eastAsia="fr-FR"/>
              </w:rPr>
              <w:t>-</w:t>
            </w:r>
            <w:proofErr w:type="spellStart"/>
            <w:r w:rsidRPr="00A96EC1">
              <w:rPr>
                <w:rFonts w:ascii="Times New Roman" w:eastAsia="Times New Roman" w:hAnsi="Times New Roman" w:cs="Times New Roman"/>
                <w:color w:val="000000"/>
                <w:sz w:val="24"/>
                <w:szCs w:val="24"/>
                <w:lang w:eastAsia="fr-FR"/>
              </w:rPr>
              <w:t>oesophagien</w:t>
            </w:r>
            <w:proofErr w:type="spellEnd"/>
            <w:r w:rsidRPr="00A96EC1">
              <w:rPr>
                <w:rFonts w:ascii="Times New Roman" w:eastAsia="Times New Roman" w:hAnsi="Times New Roman" w:cs="Times New Roman"/>
                <w:color w:val="000000"/>
                <w:sz w:val="24"/>
                <w:szCs w:val="24"/>
                <w:lang w:eastAsia="fr-FR"/>
              </w:rPr>
              <w:t xml:space="preserve">, nausées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 xml:space="preserve">Affections </w:t>
            </w:r>
            <w:proofErr w:type="spellStart"/>
            <w:r w:rsidRPr="00A96EC1">
              <w:rPr>
                <w:rFonts w:ascii="Times New Roman" w:eastAsia="Times New Roman" w:hAnsi="Times New Roman" w:cs="Times New Roman"/>
                <w:i/>
                <w:iCs/>
                <w:color w:val="000000"/>
                <w:sz w:val="24"/>
                <w:szCs w:val="24"/>
                <w:lang w:eastAsia="fr-FR"/>
              </w:rPr>
              <w:t>musculosquelettiques</w:t>
            </w:r>
            <w:proofErr w:type="spellEnd"/>
            <w:r w:rsidRPr="00A96EC1">
              <w:rPr>
                <w:rFonts w:ascii="Times New Roman" w:eastAsia="Times New Roman" w:hAnsi="Times New Roman" w:cs="Times New Roman"/>
                <w:i/>
                <w:iCs/>
                <w:color w:val="000000"/>
                <w:sz w:val="24"/>
                <w:szCs w:val="24"/>
                <w:lang w:eastAsia="fr-FR"/>
              </w:rPr>
              <w:t xml:space="preserve"> et systémiques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Arthralgie, crampes musculaires, douleurs cervicales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Troubles du métabolisme et de la nutrition</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Perte de l'appétit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Affections vasculaires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Bouffées vasomotrices, hypertension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Troubles généraux et anomalies au site d'administration</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Fatigue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Douleur à la poitrine, douleur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jc w:val="center"/>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Autres effets indésirables avec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w:t>
            </w:r>
            <w:proofErr w:type="spellStart"/>
            <w:r w:rsidRPr="00A96EC1">
              <w:rPr>
                <w:rFonts w:ascii="Times New Roman" w:eastAsia="Times New Roman" w:hAnsi="Times New Roman" w:cs="Times New Roman"/>
                <w:color w:val="000000"/>
                <w:sz w:val="24"/>
                <w:szCs w:val="24"/>
                <w:lang w:eastAsia="fr-FR"/>
              </w:rPr>
              <w:t>coadministré</w:t>
            </w:r>
            <w:proofErr w:type="spellEnd"/>
            <w:r w:rsidRPr="00A96EC1">
              <w:rPr>
                <w:rFonts w:ascii="Times New Roman" w:eastAsia="Times New Roman" w:hAnsi="Times New Roman" w:cs="Times New Roman"/>
                <w:color w:val="000000"/>
                <w:sz w:val="24"/>
                <w:szCs w:val="24"/>
                <w:lang w:eastAsia="fr-FR"/>
              </w:rPr>
              <w:t xml:space="preserve"> avec une statine :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lastRenderedPageBreak/>
              <w:t>Investigations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Augmentation des ALAT et/ou ASAT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Affections du système nerveux</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Maux de tête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Paresthésie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Affections gastro-intestinales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Sécheresse buccale, gastrite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Affections de la peau et du tissu sous-cutané</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Prurit, rash, urticaire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 xml:space="preserve">Affections </w:t>
            </w:r>
            <w:proofErr w:type="spellStart"/>
            <w:r w:rsidRPr="00A96EC1">
              <w:rPr>
                <w:rFonts w:ascii="Times New Roman" w:eastAsia="Times New Roman" w:hAnsi="Times New Roman" w:cs="Times New Roman"/>
                <w:i/>
                <w:iCs/>
                <w:color w:val="000000"/>
                <w:sz w:val="24"/>
                <w:szCs w:val="24"/>
                <w:lang w:eastAsia="fr-FR"/>
              </w:rPr>
              <w:t>musculosquelettiques</w:t>
            </w:r>
            <w:proofErr w:type="spellEnd"/>
            <w:r w:rsidRPr="00A96EC1">
              <w:rPr>
                <w:rFonts w:ascii="Times New Roman" w:eastAsia="Times New Roman" w:hAnsi="Times New Roman" w:cs="Times New Roman"/>
                <w:i/>
                <w:iCs/>
                <w:color w:val="000000"/>
                <w:sz w:val="24"/>
                <w:szCs w:val="24"/>
                <w:lang w:eastAsia="fr-FR"/>
              </w:rPr>
              <w:t xml:space="preserve"> et systémiques</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Myalgie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Douleurs lombaires, faiblesse musculaire, douleur des extrémités </w:t>
            </w:r>
          </w:p>
        </w:tc>
      </w:tr>
      <w:tr w:rsidR="00A402E9" w:rsidRPr="00A96EC1" w:rsidTr="00D17A2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Troubles généraux et anomalies au site d'administration</w:t>
            </w:r>
            <w:r w:rsidRPr="00A96EC1">
              <w:rPr>
                <w:rFonts w:ascii="Times New Roman" w:eastAsia="Times New Roman" w:hAnsi="Times New Roman" w:cs="Times New Roman"/>
                <w:color w:val="000000"/>
                <w:sz w:val="24"/>
                <w:szCs w:val="24"/>
                <w:lang w:eastAsia="fr-FR"/>
              </w:rPr>
              <w:t xml:space="preserve"> </w:t>
            </w:r>
          </w:p>
        </w:tc>
      </w:tr>
      <w:tr w:rsidR="00A402E9" w:rsidRPr="00A96EC1" w:rsidTr="00D17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2E9" w:rsidRPr="00A96EC1" w:rsidRDefault="00A402E9" w:rsidP="00D17A22">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Asthénie, </w:t>
            </w:r>
            <w:proofErr w:type="spellStart"/>
            <w:r w:rsidRPr="00A96EC1">
              <w:rPr>
                <w:rFonts w:ascii="Times New Roman" w:eastAsia="Times New Roman" w:hAnsi="Times New Roman" w:cs="Times New Roman"/>
                <w:color w:val="000000"/>
                <w:sz w:val="24"/>
                <w:szCs w:val="24"/>
                <w:lang w:eastAsia="fr-FR"/>
              </w:rPr>
              <w:t>oedème</w:t>
            </w:r>
            <w:proofErr w:type="spellEnd"/>
            <w:r w:rsidRPr="00A96EC1">
              <w:rPr>
                <w:rFonts w:ascii="Times New Roman" w:eastAsia="Times New Roman" w:hAnsi="Times New Roman" w:cs="Times New Roman"/>
                <w:color w:val="000000"/>
                <w:sz w:val="24"/>
                <w:szCs w:val="24"/>
                <w:lang w:eastAsia="fr-FR"/>
              </w:rPr>
              <w:t xml:space="preserve"> périphérique </w:t>
            </w:r>
          </w:p>
        </w:tc>
      </w:tr>
    </w:tbl>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i/>
          <w:iCs/>
          <w:color w:val="000000"/>
          <w:sz w:val="24"/>
          <w:szCs w:val="24"/>
          <w:lang w:eastAsia="fr-FR"/>
        </w:rPr>
        <w:t>Ézétimibe</w:t>
      </w:r>
      <w:proofErr w:type="spellEnd"/>
      <w:r w:rsidRPr="00A96EC1">
        <w:rPr>
          <w:rFonts w:ascii="Times New Roman" w:eastAsia="Times New Roman" w:hAnsi="Times New Roman" w:cs="Times New Roman"/>
          <w:i/>
          <w:iCs/>
          <w:color w:val="000000"/>
          <w:sz w:val="24"/>
          <w:szCs w:val="24"/>
          <w:lang w:eastAsia="fr-FR"/>
        </w:rPr>
        <w:t xml:space="preserve"> en association avec le </w:t>
      </w:r>
      <w:proofErr w:type="spellStart"/>
      <w:r w:rsidRPr="00A96EC1">
        <w:rPr>
          <w:rFonts w:ascii="Times New Roman" w:eastAsia="Times New Roman" w:hAnsi="Times New Roman" w:cs="Times New Roman"/>
          <w:i/>
          <w:iCs/>
          <w:color w:val="000000"/>
          <w:sz w:val="24"/>
          <w:szCs w:val="24"/>
          <w:lang w:eastAsia="fr-FR"/>
        </w:rPr>
        <w:t>fénofibrate</w:t>
      </w:r>
      <w:proofErr w:type="spellEnd"/>
      <w:r w:rsidRPr="00A96EC1">
        <w:rPr>
          <w:rFonts w:ascii="Times New Roman" w:eastAsia="Times New Roman" w:hAnsi="Times New Roman" w:cs="Times New Roman"/>
          <w:i/>
          <w:iCs/>
          <w:color w:val="000000"/>
          <w:sz w:val="24"/>
          <w:szCs w:val="24"/>
          <w:lang w:eastAsia="fr-FR"/>
        </w:rPr>
        <w:t> :</w:t>
      </w:r>
      <w:r w:rsidRPr="00A96EC1">
        <w:rPr>
          <w:rFonts w:ascii="Times New Roman" w:eastAsia="Times New Roman" w:hAnsi="Times New Roman" w:cs="Times New Roman"/>
          <w:color w:val="000000"/>
          <w:sz w:val="24"/>
          <w:szCs w:val="24"/>
          <w:lang w:eastAsia="fr-FR"/>
        </w:rPr>
        <w:t xml:space="preserve"> </w:t>
      </w:r>
    </w:p>
    <w:p w:rsidR="00A402E9" w:rsidRPr="00A96EC1" w:rsidRDefault="00A402E9" w:rsidP="00A402E9">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Troubles gastro-intestinaux : douleurs abdominales (fréquent).</w:t>
      </w:r>
    </w:p>
    <w:p w:rsidR="00A402E9" w:rsidRPr="00A96EC1" w:rsidRDefault="00A402E9" w:rsidP="00A402E9">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Dans une étude multicentrique, en double aveugle, contrôlée, versus placebo, 625 patients présentant une hyperlipidémie mixte ont été traités jusqu'à 12 semaines et 576 jusqu'à un an. Dans cette étude, 172 patients ont été traités par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associé au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jusqu'à la fin des 12 semaines, et 230 patients ont été traités par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associé au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(incluant 109 patients ayant reçu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monothérapie pendant les 12 premières semaines) jusqu'à la fin de la période de 1 an. Cette étude n'avait pas pour but de comparer les groupes traités en termes d'effets peu fréquents. Les taux d'incidence (IC 95 %) des augmentations cliniquement importantes des transaminases sériques (&gt; 3 × LSN, consécutive) étaient de 4,5 % (1,9 ; 8,8) et 2,7 % (1,2 ; 5,4) respectivement pour les groupes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en monothérapie et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association avec le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ajusté à l'exposition au traitement. Les taux d'incidence correspondant à la cholécystectomie étaient respectivement de 0,6 % (0,0 ; 3,1) et 1,7 % (0,6 ; 4,0) pour le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en monothérapie et pour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association avec le </w:t>
      </w:r>
      <w:proofErr w:type="spellStart"/>
      <w:r w:rsidRPr="00A96EC1">
        <w:rPr>
          <w:rFonts w:ascii="Times New Roman" w:eastAsia="Times New Roman" w:hAnsi="Times New Roman" w:cs="Times New Roman"/>
          <w:color w:val="000000"/>
          <w:sz w:val="24"/>
          <w:szCs w:val="24"/>
          <w:lang w:eastAsia="fr-FR"/>
        </w:rPr>
        <w:t>fénofibrate</w:t>
      </w:r>
      <w:proofErr w:type="spellEnd"/>
      <w:r w:rsidRPr="00A96EC1">
        <w:rPr>
          <w:rFonts w:ascii="Times New Roman" w:eastAsia="Times New Roman" w:hAnsi="Times New Roman" w:cs="Times New Roman"/>
          <w:color w:val="000000"/>
          <w:sz w:val="24"/>
          <w:szCs w:val="24"/>
          <w:lang w:eastAsia="fr-FR"/>
        </w:rPr>
        <w:t xml:space="preserve"> (</w:t>
      </w:r>
      <w:proofErr w:type="spellStart"/>
      <w:r w:rsidRPr="00A96EC1">
        <w:rPr>
          <w:rFonts w:ascii="Times New Roman" w:eastAsia="Times New Roman" w:hAnsi="Times New Roman" w:cs="Times New Roman"/>
          <w:color w:val="000000"/>
          <w:sz w:val="24"/>
          <w:szCs w:val="24"/>
          <w:lang w:eastAsia="fr-FR"/>
        </w:rPr>
        <w:t>cf</w:t>
      </w:r>
      <w:proofErr w:type="spellEnd"/>
      <w:r w:rsidRPr="00A96EC1">
        <w:rPr>
          <w:rFonts w:ascii="Times New Roman" w:eastAsia="Times New Roman" w:hAnsi="Times New Roman" w:cs="Times New Roman"/>
          <w:color w:val="000000"/>
          <w:sz w:val="24"/>
          <w:szCs w:val="24"/>
          <w:lang w:eastAsia="fr-FR"/>
        </w:rPr>
        <w:t> Mises en garde et Précautions d'emploi, Interactions).</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Population pédiatrique (10 à 17 ans) :</w:t>
      </w:r>
      <w:r w:rsidRPr="00A96EC1">
        <w:rPr>
          <w:rFonts w:ascii="Times New Roman" w:eastAsia="Times New Roman" w:hAnsi="Times New Roman" w:cs="Times New Roman"/>
          <w:color w:val="000000"/>
          <w:sz w:val="24"/>
          <w:szCs w:val="24"/>
          <w:lang w:eastAsia="fr-FR"/>
        </w:rPr>
        <w:t xml:space="preserv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Dans une étude menée chez des adolescents (âgés de 10 à 17 ans) ayant une hypercholestérolémie familiale hétérozygote (n = 248), des élévations des ALAT et/ou ASAT (&gt;= 3 x LSN, consécutivement) ont été observées chez 3 % des patients (4 patients) dans le groupe </w:t>
      </w:r>
      <w:proofErr w:type="spellStart"/>
      <w:r w:rsidRPr="00A96EC1">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w:t>
      </w:r>
      <w:proofErr w:type="spellStart"/>
      <w:r w:rsidRPr="00A96EC1">
        <w:rPr>
          <w:rFonts w:ascii="Times New Roman" w:eastAsia="Times New Roman" w:hAnsi="Times New Roman" w:cs="Times New Roman"/>
          <w:color w:val="000000"/>
          <w:sz w:val="24"/>
          <w:szCs w:val="24"/>
          <w:lang w:eastAsia="fr-FR"/>
        </w:rPr>
        <w:t>simvastatine</w:t>
      </w:r>
      <w:proofErr w:type="spellEnd"/>
      <w:r w:rsidRPr="00A96EC1">
        <w:rPr>
          <w:rFonts w:ascii="Times New Roman" w:eastAsia="Times New Roman" w:hAnsi="Times New Roman" w:cs="Times New Roman"/>
          <w:color w:val="000000"/>
          <w:sz w:val="24"/>
          <w:szCs w:val="24"/>
          <w:lang w:eastAsia="fr-FR"/>
        </w:rPr>
        <w:t xml:space="preserve">, versus 2 % des patients (2 patients) dans le groupe </w:t>
      </w:r>
      <w:proofErr w:type="spellStart"/>
      <w:r w:rsidRPr="00A96EC1">
        <w:rPr>
          <w:rFonts w:ascii="Times New Roman" w:eastAsia="Times New Roman" w:hAnsi="Times New Roman" w:cs="Times New Roman"/>
          <w:color w:val="000000"/>
          <w:sz w:val="24"/>
          <w:szCs w:val="24"/>
          <w:lang w:eastAsia="fr-FR"/>
        </w:rPr>
        <w:t>simvastatine</w:t>
      </w:r>
      <w:proofErr w:type="spellEnd"/>
      <w:r w:rsidRPr="00A96EC1">
        <w:rPr>
          <w:rFonts w:ascii="Times New Roman" w:eastAsia="Times New Roman" w:hAnsi="Times New Roman" w:cs="Times New Roman"/>
          <w:color w:val="000000"/>
          <w:sz w:val="24"/>
          <w:szCs w:val="24"/>
          <w:lang w:eastAsia="fr-FR"/>
        </w:rPr>
        <w:t xml:space="preserve"> en monothérapie.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lastRenderedPageBreak/>
        <w:t xml:space="preserve">Pour une élévation des CPK (&gt;= 10 x LSN), ces données étaient respectivement de 2 % (2 patients) et 0 %. Aucun cas de myopathie n'a été rapporté.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Cet essai n'avait pas pour objet la comparaison des effets indésirables rares.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i/>
          <w:iCs/>
          <w:color w:val="000000"/>
          <w:sz w:val="24"/>
          <w:szCs w:val="24"/>
          <w:lang w:eastAsia="fr-FR"/>
        </w:rPr>
        <w:t>Valeurs biologiques :</w:t>
      </w:r>
      <w:r w:rsidRPr="00A96EC1">
        <w:rPr>
          <w:rFonts w:ascii="Times New Roman" w:eastAsia="Times New Roman" w:hAnsi="Times New Roman" w:cs="Times New Roman"/>
          <w:color w:val="000000"/>
          <w:sz w:val="24"/>
          <w:szCs w:val="24"/>
          <w:lang w:eastAsia="fr-FR"/>
        </w:rPr>
        <w:t xml:space="preserv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Une augmentation cliniquement significative des transaminases sériques (ALAT et/ou ASAT &gt;= 3 x LSN, consécutivement) a été observée de manière similaire entre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(0,5 %) et le placebo (0,3 %) au cours des études cliniques contrôlées et en monothérapie.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Dans les études cliniques d'association, l'incidence était de 1,3 % chez les patients traités par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association à une statine, et de 0,4 % pour les patients traités par une statine seule. Ces augmentations sont généralement asymptomatiques, non associées à une </w:t>
      </w:r>
      <w:proofErr w:type="spellStart"/>
      <w:r w:rsidRPr="00A96EC1">
        <w:rPr>
          <w:rFonts w:ascii="Times New Roman" w:eastAsia="Times New Roman" w:hAnsi="Times New Roman" w:cs="Times New Roman"/>
          <w:color w:val="000000"/>
          <w:sz w:val="24"/>
          <w:szCs w:val="24"/>
          <w:lang w:eastAsia="fr-FR"/>
        </w:rPr>
        <w:t>cholestase</w:t>
      </w:r>
      <w:proofErr w:type="spellEnd"/>
      <w:r w:rsidRPr="00A96EC1">
        <w:rPr>
          <w:rFonts w:ascii="Times New Roman" w:eastAsia="Times New Roman" w:hAnsi="Times New Roman" w:cs="Times New Roman"/>
          <w:color w:val="000000"/>
          <w:sz w:val="24"/>
          <w:szCs w:val="24"/>
          <w:lang w:eastAsia="fr-FR"/>
        </w:rPr>
        <w:t> ; les valeurs reviennent à leur valeur initiale à l'arrêt du traitement ou lors de la poursuite du traitement (</w:t>
      </w:r>
      <w:proofErr w:type="spellStart"/>
      <w:r w:rsidRPr="00A96EC1">
        <w:rPr>
          <w:rFonts w:ascii="Times New Roman" w:eastAsia="Times New Roman" w:hAnsi="Times New Roman" w:cs="Times New Roman"/>
          <w:color w:val="000000"/>
          <w:sz w:val="24"/>
          <w:szCs w:val="24"/>
          <w:lang w:eastAsia="fr-FR"/>
        </w:rPr>
        <w:t>cf</w:t>
      </w:r>
      <w:proofErr w:type="spellEnd"/>
      <w:r w:rsidRPr="00A96EC1">
        <w:rPr>
          <w:rFonts w:ascii="Times New Roman" w:eastAsia="Times New Roman" w:hAnsi="Times New Roman" w:cs="Times New Roman"/>
          <w:color w:val="000000"/>
          <w:sz w:val="24"/>
          <w:szCs w:val="24"/>
          <w:lang w:eastAsia="fr-FR"/>
        </w:rPr>
        <w:t xml:space="preserve"> Mises en garde et Précautions d'emploi).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Dans les essais cliniques, l'incidence des CPK &gt; 10 × LSN concernait 4 des 1674 patients sous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seul (soit 0,2 %) versus 1 des 786 patients sous placebo (soit 0,1 %) ; et 1 des 917 patients sous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associé à une statine (soit 0,1 %) versus 4 des 929 patients sous statine seule (soit 0,4 %). Il n'y a pas eu d'augmentation d'atteinte musculaire ou de </w:t>
      </w:r>
      <w:proofErr w:type="spellStart"/>
      <w:r w:rsidRPr="00A96EC1">
        <w:rPr>
          <w:rFonts w:ascii="Times New Roman" w:eastAsia="Times New Roman" w:hAnsi="Times New Roman" w:cs="Times New Roman"/>
          <w:color w:val="000000"/>
          <w:sz w:val="24"/>
          <w:szCs w:val="24"/>
          <w:lang w:eastAsia="fr-FR"/>
        </w:rPr>
        <w:t>rhabdomyolyse</w:t>
      </w:r>
      <w:proofErr w:type="spellEnd"/>
      <w:r w:rsidRPr="00A96EC1">
        <w:rPr>
          <w:rFonts w:ascii="Times New Roman" w:eastAsia="Times New Roman" w:hAnsi="Times New Roman" w:cs="Times New Roman"/>
          <w:color w:val="000000"/>
          <w:sz w:val="24"/>
          <w:szCs w:val="24"/>
          <w:lang w:eastAsia="fr-FR"/>
        </w:rPr>
        <w:t xml:space="preserve"> associée à </w:t>
      </w:r>
      <w:proofErr w:type="spellStart"/>
      <w:r>
        <w:rPr>
          <w:rFonts w:ascii="Times New Roman" w:eastAsia="Times New Roman" w:hAnsi="Times New Roman" w:cs="Times New Roman"/>
          <w:color w:val="000000"/>
          <w:sz w:val="24"/>
          <w:szCs w:val="24"/>
          <w:lang w:eastAsia="fr-FR"/>
        </w:rPr>
        <w:t>Ézétimibe</w:t>
      </w:r>
      <w:proofErr w:type="spellEnd"/>
      <w:r w:rsidRPr="00A96EC1">
        <w:rPr>
          <w:rFonts w:ascii="Times New Roman" w:eastAsia="Times New Roman" w:hAnsi="Times New Roman" w:cs="Times New Roman"/>
          <w:color w:val="000000"/>
          <w:sz w:val="24"/>
          <w:szCs w:val="24"/>
          <w:lang w:eastAsia="fr-FR"/>
        </w:rPr>
        <w:t xml:space="preserve"> en comparaison avec le groupe contrôle (placebo ou statine seule). </w:t>
      </w:r>
      <w:proofErr w:type="spellStart"/>
      <w:r w:rsidRPr="00A96EC1">
        <w:rPr>
          <w:rFonts w:ascii="Times New Roman" w:eastAsia="Times New Roman" w:hAnsi="Times New Roman" w:cs="Times New Roman"/>
          <w:color w:val="000000"/>
          <w:sz w:val="24"/>
          <w:szCs w:val="24"/>
          <w:lang w:eastAsia="fr-FR"/>
        </w:rPr>
        <w:t>Cf</w:t>
      </w:r>
      <w:proofErr w:type="spellEnd"/>
      <w:r w:rsidRPr="00A96EC1">
        <w:rPr>
          <w:rFonts w:ascii="Times New Roman" w:eastAsia="Times New Roman" w:hAnsi="Times New Roman" w:cs="Times New Roman"/>
          <w:color w:val="000000"/>
          <w:sz w:val="24"/>
          <w:szCs w:val="24"/>
          <w:lang w:eastAsia="fr-FR"/>
        </w:rPr>
        <w:t xml:space="preserve"> Mises en garde et Précautions d'emploi. </w:t>
      </w:r>
    </w:p>
    <w:p w:rsidR="00A402E9" w:rsidRPr="00A96EC1" w:rsidRDefault="00A402E9" w:rsidP="00A402E9">
      <w:pPr>
        <w:spacing w:after="0" w:line="240" w:lineRule="auto"/>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b/>
          <w:bCs/>
          <w:i/>
          <w:iCs/>
          <w:color w:val="000000"/>
          <w:sz w:val="24"/>
          <w:szCs w:val="24"/>
          <w:lang w:eastAsia="fr-FR"/>
        </w:rPr>
        <w:t>Depuis la mise sur le marché du médicament :</w:t>
      </w:r>
      <w:r w:rsidRPr="00A96EC1">
        <w:rPr>
          <w:rFonts w:ascii="Times New Roman" w:eastAsia="Times New Roman" w:hAnsi="Times New Roman" w:cs="Times New Roman"/>
          <w:color w:val="000000"/>
          <w:sz w:val="24"/>
          <w:szCs w:val="24"/>
          <w:lang w:eastAsia="fr-FR"/>
        </w:rPr>
        <w:t xml:space="preserve">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Les autres événements indésirables rapportés depuis la mise sur le marché du médicament sont les suivants. </w:t>
      </w:r>
    </w:p>
    <w:p w:rsidR="00A402E9" w:rsidRPr="00A96EC1" w:rsidRDefault="00A402E9" w:rsidP="00A402E9">
      <w:pPr>
        <w:spacing w:after="0" w:line="240" w:lineRule="auto"/>
        <w:ind w:left="72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Ces événements indésirables ayant été rapportés de façon spontanée, leur fréquence réelle n'est pas connue et ne peut donc pas être estimée. </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Affection hématologique et du système lymphatique : thrombopénie.</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Affections du système nerveux : étourdissements, paresthésie.</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Affections respiratoires, thoraciques et </w:t>
      </w:r>
      <w:proofErr w:type="spellStart"/>
      <w:r w:rsidRPr="00A96EC1">
        <w:rPr>
          <w:rFonts w:ascii="Times New Roman" w:eastAsia="Times New Roman" w:hAnsi="Times New Roman" w:cs="Times New Roman"/>
          <w:color w:val="000000"/>
          <w:sz w:val="24"/>
          <w:szCs w:val="24"/>
          <w:lang w:eastAsia="fr-FR"/>
        </w:rPr>
        <w:t>médiastinales</w:t>
      </w:r>
      <w:proofErr w:type="spellEnd"/>
      <w:r w:rsidRPr="00A96EC1">
        <w:rPr>
          <w:rFonts w:ascii="Times New Roman" w:eastAsia="Times New Roman" w:hAnsi="Times New Roman" w:cs="Times New Roman"/>
          <w:color w:val="000000"/>
          <w:sz w:val="24"/>
          <w:szCs w:val="24"/>
          <w:lang w:eastAsia="fr-FR"/>
        </w:rPr>
        <w:t> : dyspnée.</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Affections gastro-intestinales : pancréatite, constipation.</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Affections de la peau et du tissu sous-cutané : érythème multiforme.</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Affections </w:t>
      </w:r>
      <w:proofErr w:type="spellStart"/>
      <w:r w:rsidRPr="00A96EC1">
        <w:rPr>
          <w:rFonts w:ascii="Times New Roman" w:eastAsia="Times New Roman" w:hAnsi="Times New Roman" w:cs="Times New Roman"/>
          <w:color w:val="000000"/>
          <w:sz w:val="24"/>
          <w:szCs w:val="24"/>
          <w:lang w:eastAsia="fr-FR"/>
        </w:rPr>
        <w:t>musculosquelettiques</w:t>
      </w:r>
      <w:proofErr w:type="spellEnd"/>
      <w:r w:rsidRPr="00A96EC1">
        <w:rPr>
          <w:rFonts w:ascii="Times New Roman" w:eastAsia="Times New Roman" w:hAnsi="Times New Roman" w:cs="Times New Roman"/>
          <w:color w:val="000000"/>
          <w:sz w:val="24"/>
          <w:szCs w:val="24"/>
          <w:lang w:eastAsia="fr-FR"/>
        </w:rPr>
        <w:t xml:space="preserve"> et systémiques : myalgie, myopathie/</w:t>
      </w:r>
      <w:proofErr w:type="spellStart"/>
      <w:r w:rsidRPr="00A96EC1">
        <w:rPr>
          <w:rFonts w:ascii="Times New Roman" w:eastAsia="Times New Roman" w:hAnsi="Times New Roman" w:cs="Times New Roman"/>
          <w:color w:val="000000"/>
          <w:sz w:val="24"/>
          <w:szCs w:val="24"/>
          <w:lang w:eastAsia="fr-FR"/>
        </w:rPr>
        <w:t>rhabdomyolyse</w:t>
      </w:r>
      <w:proofErr w:type="spellEnd"/>
      <w:r w:rsidRPr="00A96EC1">
        <w:rPr>
          <w:rFonts w:ascii="Times New Roman" w:eastAsia="Times New Roman" w:hAnsi="Times New Roman" w:cs="Times New Roman"/>
          <w:color w:val="000000"/>
          <w:sz w:val="24"/>
          <w:szCs w:val="24"/>
          <w:lang w:eastAsia="fr-FR"/>
        </w:rPr>
        <w:t xml:space="preserve"> (</w:t>
      </w:r>
      <w:proofErr w:type="spellStart"/>
      <w:r w:rsidRPr="00A96EC1">
        <w:rPr>
          <w:rFonts w:ascii="Times New Roman" w:eastAsia="Times New Roman" w:hAnsi="Times New Roman" w:cs="Times New Roman"/>
          <w:color w:val="000000"/>
          <w:sz w:val="24"/>
          <w:szCs w:val="24"/>
          <w:lang w:eastAsia="fr-FR"/>
        </w:rPr>
        <w:t>cf</w:t>
      </w:r>
      <w:proofErr w:type="spellEnd"/>
      <w:r w:rsidRPr="00A96EC1">
        <w:rPr>
          <w:rFonts w:ascii="Times New Roman" w:eastAsia="Times New Roman" w:hAnsi="Times New Roman" w:cs="Times New Roman"/>
          <w:color w:val="000000"/>
          <w:sz w:val="24"/>
          <w:szCs w:val="24"/>
          <w:lang w:eastAsia="fr-FR"/>
        </w:rPr>
        <w:t> Mises en garde et Précautions d'emploi).</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Troubles généraux et anomalies au site d'administration : asthénie.</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 xml:space="preserve">Affections du système immunitaire : hypersensibilité, incluant rash, urticaire, anaphylaxie et </w:t>
      </w:r>
      <w:proofErr w:type="spellStart"/>
      <w:r w:rsidRPr="00A96EC1">
        <w:rPr>
          <w:rFonts w:ascii="Times New Roman" w:eastAsia="Times New Roman" w:hAnsi="Times New Roman" w:cs="Times New Roman"/>
          <w:color w:val="000000"/>
          <w:sz w:val="24"/>
          <w:szCs w:val="24"/>
          <w:lang w:eastAsia="fr-FR"/>
        </w:rPr>
        <w:t>angio</w:t>
      </w:r>
      <w:proofErr w:type="spellEnd"/>
      <w:r w:rsidRPr="00A96EC1">
        <w:rPr>
          <w:rFonts w:ascii="Times New Roman" w:eastAsia="Times New Roman" w:hAnsi="Times New Roman" w:cs="Times New Roman"/>
          <w:color w:val="000000"/>
          <w:sz w:val="24"/>
          <w:szCs w:val="24"/>
          <w:lang w:eastAsia="fr-FR"/>
        </w:rPr>
        <w:t>-</w:t>
      </w:r>
      <w:proofErr w:type="spellStart"/>
      <w:r w:rsidRPr="00A96EC1">
        <w:rPr>
          <w:rFonts w:ascii="Times New Roman" w:eastAsia="Times New Roman" w:hAnsi="Times New Roman" w:cs="Times New Roman"/>
          <w:color w:val="000000"/>
          <w:sz w:val="24"/>
          <w:szCs w:val="24"/>
          <w:lang w:eastAsia="fr-FR"/>
        </w:rPr>
        <w:t>oedème</w:t>
      </w:r>
      <w:proofErr w:type="spellEnd"/>
      <w:r w:rsidRPr="00A96EC1">
        <w:rPr>
          <w:rFonts w:ascii="Times New Roman" w:eastAsia="Times New Roman" w:hAnsi="Times New Roman" w:cs="Times New Roman"/>
          <w:color w:val="000000"/>
          <w:sz w:val="24"/>
          <w:szCs w:val="24"/>
          <w:lang w:eastAsia="fr-FR"/>
        </w:rPr>
        <w:t>.</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Affections hépatobiliaires : hépatite, lithiase biliaire, cholécystite.</w:t>
      </w:r>
    </w:p>
    <w:p w:rsidR="00A402E9" w:rsidRPr="00A96EC1" w:rsidRDefault="00A402E9" w:rsidP="00A402E9">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A96EC1">
        <w:rPr>
          <w:rFonts w:ascii="Times New Roman" w:eastAsia="Times New Roman" w:hAnsi="Times New Roman" w:cs="Times New Roman"/>
          <w:color w:val="000000"/>
          <w:sz w:val="24"/>
          <w:szCs w:val="24"/>
          <w:lang w:eastAsia="fr-FR"/>
        </w:rPr>
        <w:t>Affections psychiatriques : dépression.</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2E6"/>
    <w:multiLevelType w:val="multilevel"/>
    <w:tmpl w:val="C81E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D3C6B"/>
    <w:multiLevelType w:val="multilevel"/>
    <w:tmpl w:val="4BF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402E9"/>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15F11"/>
    <w:rsid w:val="00945368"/>
    <w:rsid w:val="009D77C6"/>
    <w:rsid w:val="00A402E9"/>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A40E5"/>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5836</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2013-11-12T16:21:00Z</dcterms:created>
  <dcterms:modified xsi:type="dcterms:W3CDTF">2013-11-12T16:22:00Z</dcterms:modified>
</cp:coreProperties>
</file>